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ascii="Verdana" w:hAnsi="Verdana"/>
          <w:b/>
          <w:bCs/>
          <w:i w:val="false"/>
          <w:iCs w:val="false"/>
          <w:sz w:val="16"/>
          <w:szCs w:val="16"/>
        </w:rPr>
        <w:t xml:space="preserve">Załącznik nr  4 do Opisu przedmiotu zamówienia na </w:t>
      </w:r>
      <w:r>
        <w:rPr>
          <w:rStyle w:val="Domylnaczcionkaakapitu"/>
          <w:rFonts w:cs="Arial" w:ascii="Verdana" w:hAnsi="Verdana"/>
          <w:b/>
          <w:bCs/>
          <w:i w:val="false"/>
          <w:iCs w:val="false"/>
          <w:sz w:val="16"/>
          <w:szCs w:val="16"/>
        </w:rPr>
        <w:t xml:space="preserve">pełnienie nadzoru inwestorskiego (z prawem opcji) w branży teletechnicznej nad opracowaniem dokumentacji projektowej i robotami budowlanymi realizowanymi w ramach zadania inwestycyjnego pn.: </w:t>
      </w:r>
      <w:r>
        <w:rPr>
          <w:rStyle w:val="Domylnaczcionkaakapitu"/>
          <w:rFonts w:eastAsia="Arial" w:cs="Verdana" w:ascii="Verdana" w:hAnsi="Verdana"/>
          <w:b/>
          <w:bCs/>
          <w:i/>
          <w:iCs/>
          <w:sz w:val="16"/>
          <w:szCs w:val="16"/>
        </w:rPr>
        <w:t>„</w:t>
      </w:r>
      <w:r>
        <w:rPr>
          <w:rStyle w:val="Domylnaczcionkaakapitu"/>
          <w:rFonts w:eastAsia="Arial" w:cs="Arial" w:ascii="Verdana" w:hAnsi="Verdana"/>
          <w:b/>
          <w:bCs/>
          <w:i/>
          <w:iCs/>
          <w:sz w:val="16"/>
          <w:szCs w:val="16"/>
        </w:rPr>
        <w:t>Rozbiórka i budowa stadionu miejskiego im. Kazimierza Górskiego w Płocku przy ul. Łukasiewicza 34 wraz z przebudową infrastruktury towarzyszącej”</w:t>
      </w:r>
      <w:r>
        <w:rPr>
          <w:rStyle w:val="Domylnaczcionkaakapitu"/>
          <w:rFonts w:eastAsia="Arial" w:cs="Arial" w:ascii="Verdana" w:hAnsi="Verdana"/>
          <w:b/>
          <w:bCs/>
          <w:i w:val="false"/>
          <w:iCs w:val="false"/>
          <w:sz w:val="16"/>
          <w:szCs w:val="16"/>
        </w:rPr>
        <w:t xml:space="preserve"> </w:t>
      </w:r>
    </w:p>
    <w:p>
      <w:pPr>
        <w:pStyle w:val="Domylnie"/>
        <w:spacing w:lineRule="auto" w:line="240" w:before="0" w:after="0"/>
        <w:jc w:val="both"/>
        <w:rPr>
          <w:rStyle w:val="Domylnaczcionkaakapitu"/>
          <w:rFonts w:ascii="Verdana" w:hAnsi="Verdana" w:eastAsia="Arial" w:cs="Arial"/>
          <w:b/>
          <w:b/>
          <w:bCs/>
          <w:i w:val="false"/>
          <w:i w:val="false"/>
          <w:iCs w:val="false"/>
          <w:sz w:val="16"/>
          <w:szCs w:val="16"/>
        </w:rPr>
      </w:pPr>
      <w:r>
        <w:rPr>
          <w:rFonts w:eastAsia="Arial" w:cs="Arial" w:ascii="Verdana" w:hAnsi="Verdana"/>
          <w:b/>
          <w:bCs/>
          <w:i w:val="false"/>
          <w:iCs w:val="false"/>
          <w:sz w:val="16"/>
          <w:szCs w:val="16"/>
        </w:rPr>
      </w:r>
    </w:p>
    <w:p>
      <w:pPr>
        <w:pStyle w:val="Normal"/>
        <w:jc w:val="center"/>
        <w:rPr/>
      </w:pPr>
      <w:r>
        <w:rPr>
          <w:rFonts w:ascii="Verdana" w:hAnsi="Verdana"/>
          <w:b/>
          <w:bCs/>
          <w:sz w:val="16"/>
          <w:szCs w:val="16"/>
        </w:rPr>
        <w:t>Tabela elementów scalonych</w:t>
      </w:r>
    </w:p>
    <w:tbl>
      <w:tblPr>
        <w:tblW w:w="11505" w:type="dxa"/>
        <w:jc w:val="left"/>
        <w:tblInd w:w="35" w:type="dxa"/>
        <w:tblCellMar>
          <w:top w:w="55" w:type="dxa"/>
          <w:left w:w="25" w:type="dxa"/>
          <w:bottom w:w="55" w:type="dxa"/>
          <w:right w:w="55" w:type="dxa"/>
        </w:tblCellMar>
      </w:tblPr>
      <w:tblGrid>
        <w:gridCol w:w="448"/>
        <w:gridCol w:w="6341"/>
        <w:gridCol w:w="723"/>
        <w:gridCol w:w="723"/>
        <w:gridCol w:w="1"/>
        <w:gridCol w:w="3269"/>
      </w:tblGrid>
      <w:tr>
        <w:trPr/>
        <w:tc>
          <w:tcPr>
            <w:tcW w:w="4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Domylnie"/>
              <w:spacing w:before="0" w:after="200"/>
              <w:rPr/>
            </w:pPr>
            <w:r>
              <w:rPr>
                <w:rFonts w:ascii="Verdana" w:hAnsi="Verdana"/>
                <w:sz w:val="16"/>
                <w:szCs w:val="16"/>
              </w:rPr>
              <w:t>L.P.</w:t>
            </w:r>
          </w:p>
        </w:tc>
        <w:tc>
          <w:tcPr>
            <w:tcW w:w="63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Domylnie"/>
              <w:spacing w:before="0" w:after="200"/>
              <w:jc w:val="center"/>
              <w:rPr/>
            </w:pPr>
            <w:r>
              <w:rPr>
                <w:rFonts w:ascii="Verdana" w:hAnsi="Verdana"/>
                <w:sz w:val="16"/>
                <w:szCs w:val="16"/>
              </w:rPr>
              <w:t>Wyszczególnienie elementów rozliczeniowych</w:t>
            </w:r>
          </w:p>
        </w:tc>
        <w:tc>
          <w:tcPr>
            <w:tcW w:w="7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Domylnie"/>
              <w:spacing w:before="0" w:after="200"/>
              <w:jc w:val="center"/>
              <w:rPr/>
            </w:pPr>
            <w:r>
              <w:rPr>
                <w:rFonts w:ascii="Verdana" w:hAnsi="Verdana"/>
                <w:sz w:val="16"/>
                <w:szCs w:val="16"/>
              </w:rPr>
              <w:t>Jedn.</w:t>
            </w:r>
          </w:p>
        </w:tc>
        <w:tc>
          <w:tcPr>
            <w:tcW w:w="7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Domylnie"/>
              <w:spacing w:before="0" w:after="200"/>
              <w:jc w:val="center"/>
              <w:rPr/>
            </w:pPr>
            <w:r>
              <w:rPr>
                <w:rFonts w:ascii="Verdana" w:hAnsi="Verdana"/>
                <w:sz w:val="16"/>
                <w:szCs w:val="16"/>
              </w:rPr>
              <w:t>Ilość jedn.</w:t>
            </w:r>
          </w:p>
        </w:tc>
        <w:tc>
          <w:tcPr>
            <w:tcW w:w="327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Domylnie"/>
              <w:spacing w:before="0" w:after="200"/>
              <w:jc w:val="center"/>
              <w:rPr/>
            </w:pPr>
            <w:r>
              <w:rPr>
                <w:rFonts w:ascii="Verdana" w:hAnsi="Verdana"/>
                <w:sz w:val="16"/>
                <w:szCs w:val="16"/>
              </w:rPr>
              <w:t>Wartość Netto</w:t>
            </w:r>
          </w:p>
        </w:tc>
      </w:tr>
      <w:tr>
        <w:trPr/>
        <w:tc>
          <w:tcPr>
            <w:tcW w:w="4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Domylnie"/>
              <w:spacing w:before="0" w:after="200"/>
              <w:jc w:val="center"/>
              <w:rPr/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63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Normal"/>
              <w:spacing w:before="0" w:after="160"/>
              <w:jc w:val="both"/>
              <w:rPr/>
            </w:pPr>
            <w:r>
              <w:rPr>
                <w:rStyle w:val="Domylnaczcionkaakapitu"/>
                <w:rFonts w:eastAsia="Verdana" w:cs="Verdana" w:ascii="Verdana" w:hAnsi="Verdana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  <w:highlight w:val="white"/>
                <w:u w:val="none"/>
                <w:lang w:val="pl-PL"/>
              </w:rPr>
              <w:t>Pełnienie nadzoru inwestorskiego w zakresie minimalnym (podstawowym), w ramach:</w:t>
            </w:r>
          </w:p>
          <w:p>
            <w:pPr>
              <w:pStyle w:val="Normal"/>
              <w:spacing w:before="0" w:after="160"/>
              <w:jc w:val="both"/>
              <w:rPr/>
            </w:pPr>
            <w:r>
              <w:rPr>
                <w:rStyle w:val="Domylnaczcionkaakapitu"/>
                <w:rFonts w:eastAsia="Verdana" w:cs="Verdana" w:ascii="Verdana" w:hAnsi="Verdana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  <w:highlight w:val="white"/>
                <w:u w:val="none"/>
                <w:lang w:val="pl-PL"/>
              </w:rPr>
              <w:t xml:space="preserve">Etapu I - od dnia podpisania umowy, w okresie sporządzenia projektu budowlanego </w:t>
            </w:r>
            <w:r>
              <w:rPr>
                <w:rStyle w:val="Domylnaczcionkaakapitu"/>
                <w:rFonts w:eastAsia="Verdana" w:cs="Arial" w:ascii="Verdana" w:hAnsi="Verdana"/>
                <w:b w:val="false"/>
                <w:bCs w:val="false"/>
                <w:i w:val="false"/>
                <w:iCs w:val="false"/>
                <w:color w:val="auto"/>
                <w:sz w:val="16"/>
                <w:szCs w:val="16"/>
                <w:highlight w:val="white"/>
                <w:u w:val="none"/>
                <w:lang w:val="pl-PL"/>
              </w:rPr>
              <w:t>i do uzyskania decyzji o pozwoleniu na budowę lub skutecznego zgłoszenia zamiaru wykonania robót budowlanych</w:t>
            </w:r>
            <w:r>
              <w:rPr>
                <w:rStyle w:val="Domylnaczcionkaakapitu"/>
                <w:rFonts w:eastAsia="Verdana" w:cs="Verdana" w:ascii="Verdana" w:hAnsi="Verdana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  <w:highlight w:val="white"/>
                <w:u w:val="none"/>
                <w:lang w:val="pl-PL"/>
              </w:rPr>
              <w:t>,</w:t>
            </w:r>
          </w:p>
          <w:p>
            <w:pPr>
              <w:pStyle w:val="Normal"/>
              <w:spacing w:before="0" w:after="160"/>
              <w:jc w:val="both"/>
              <w:rPr/>
            </w:pPr>
            <w:r>
              <w:rPr>
                <w:rStyle w:val="Domylnaczcionkaakapitu"/>
                <w:rFonts w:eastAsia="Verdana" w:cs="Verdana" w:ascii="Verdana" w:hAnsi="Verdana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  <w:highlight w:val="white"/>
                <w:u w:val="none"/>
                <w:lang w:val="pl-PL"/>
              </w:rPr>
              <w:t xml:space="preserve">Etapu II - w okresie sporządzania projektów wykonawczych, prowadzenia robot budowlanych i ich odbioru </w:t>
            </w:r>
            <w:r>
              <w:rPr>
                <w:rStyle w:val="Domylnaczcionkaakapitu"/>
                <w:rFonts w:eastAsia="Verdana" w:cs="Verdana" w:ascii="Verdana" w:hAnsi="Verdana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  <w:highlight w:val="white"/>
                <w:u w:val="none"/>
                <w:lang w:val="pl-PL"/>
              </w:rPr>
              <w:t xml:space="preserve">aż </w:t>
            </w:r>
            <w:r>
              <w:rPr>
                <w:rStyle w:val="Domylnaczcionkaakapitu"/>
                <w:rFonts w:eastAsia="Verdana" w:cs="Verdana" w:ascii="Verdana" w:hAnsi="Verdana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  <w:highlight w:val="white"/>
                <w:u w:val="none"/>
                <w:lang w:val="pl-PL"/>
              </w:rPr>
              <w:t xml:space="preserve">do dnia oddania obiektu do użytkowania i dokonania odbioru końcowego </w:t>
            </w:r>
            <w:r>
              <w:rPr>
                <w:rStyle w:val="Domylnaczcionkaakapitu"/>
                <w:rFonts w:eastAsia="Verdana" w:cs="Verdana" w:ascii="Verdana" w:hAnsi="Verdana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  <w:highlight w:val="white"/>
                <w:u w:val="none"/>
                <w:lang w:val="pl-PL"/>
              </w:rPr>
              <w:t>O</w:t>
            </w:r>
            <w:r>
              <w:rPr>
                <w:rStyle w:val="Domylnaczcionkaakapitu"/>
                <w:rFonts w:eastAsia="Verdana" w:cs="Verdana" w:ascii="Verdana" w:hAnsi="Verdana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  <w:highlight w:val="white"/>
                <w:u w:val="none"/>
                <w:lang w:val="pl-PL"/>
              </w:rPr>
              <w:t xml:space="preserve">biektu oraz w okresie usuwania wad i usterek w branży teletechnicznej stwierdzonych na etapie odbioru końcowego Obiektu, </w:t>
            </w:r>
            <w:r>
              <w:rPr>
                <w:rStyle w:val="Domylnaczcionkaakapitu"/>
                <w:rFonts w:eastAsia="Verdana" w:cs="Verdana" w:ascii="Verdana" w:hAnsi="Verdana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  <w:highlight w:val="white"/>
                <w:u w:val="none"/>
                <w:lang w:val="pl-PL"/>
              </w:rPr>
              <w:t>nie dłużej niż 2 miesiące po podpisaniu przez Zamawiającego i Wykonawcę robót, protokołu odbioru końcowego Obiektu</w:t>
            </w:r>
            <w:r>
              <w:rPr>
                <w:rStyle w:val="Domylnaczcionkaakapitu"/>
                <w:rFonts w:eastAsia="Verdana" w:cs="Verdana" w:ascii="Verdana" w:hAnsi="Verdana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  <w:highlight w:val="white"/>
                <w:u w:val="none"/>
                <w:lang w:val="pl-PL"/>
              </w:rPr>
              <w:t>.</w:t>
            </w:r>
          </w:p>
        </w:tc>
        <w:tc>
          <w:tcPr>
            <w:tcW w:w="7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Domylnie"/>
              <w:jc w:val="center"/>
              <w:rPr/>
            </w:pPr>
            <w:r>
              <w:rPr>
                <w:rFonts w:ascii="Verdana" w:hAnsi="Verdana"/>
                <w:sz w:val="16"/>
                <w:szCs w:val="16"/>
              </w:rPr>
              <w:t>Kpl</w:t>
            </w:r>
          </w:p>
          <w:p>
            <w:pPr>
              <w:pStyle w:val="Domylnie"/>
              <w:spacing w:before="0" w:after="200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  <w:tc>
          <w:tcPr>
            <w:tcW w:w="7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Domylnie"/>
              <w:spacing w:before="0" w:after="200"/>
              <w:jc w:val="center"/>
              <w:rPr/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327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Domylnie"/>
              <w:spacing w:before="0" w:after="20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</w:tr>
      <w:tr>
        <w:trPr/>
        <w:tc>
          <w:tcPr>
            <w:tcW w:w="4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Domylnie"/>
              <w:spacing w:before="0" w:after="200"/>
              <w:jc w:val="center"/>
              <w:rPr/>
            </w:pPr>
            <w:r>
              <w:rPr/>
              <w:t>2</w:t>
            </w:r>
          </w:p>
        </w:tc>
        <w:tc>
          <w:tcPr>
            <w:tcW w:w="63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700" w:leader="none"/>
              </w:tabs>
              <w:bidi w:val="0"/>
              <w:spacing w:lineRule="auto" w:line="276" w:before="0" w:after="200"/>
              <w:ind w:right="0" w:hanging="0"/>
              <w:jc w:val="both"/>
              <w:rPr/>
            </w:pPr>
            <w:r>
              <w:rPr>
                <w:rFonts w:eastAsia="Century Gothic" w:cs="Century Gothic" w:ascii="Verdana" w:hAnsi="Verdana"/>
                <w:sz w:val="16"/>
                <w:szCs w:val="16"/>
              </w:rPr>
              <w:t xml:space="preserve">Pełnienie nadzoru inwestorskiego w zakresie opcjonalnym (prawo opcji), w ramach Etapu III – w okresie gwarancji i rękojmi udzielonej przez Wykonawcę robot, tj. w ciągu 72 miesięcy od daty odbioru końcowego </w:t>
            </w:r>
            <w:r>
              <w:rPr>
                <w:rFonts w:eastAsia="Century Gothic" w:cs="Century Gothic" w:ascii="Verdana" w:hAnsi="Verdana"/>
                <w:sz w:val="16"/>
                <w:szCs w:val="16"/>
              </w:rPr>
              <w:t>O</w:t>
            </w:r>
            <w:r>
              <w:rPr>
                <w:rFonts w:eastAsia="Century Gothic" w:cs="Century Gothic" w:ascii="Verdana" w:hAnsi="Verdana"/>
                <w:sz w:val="16"/>
                <w:szCs w:val="16"/>
              </w:rPr>
              <w:t>biektu, oraz do podpisania protokołu ostatecznego (pogwarancyjnego) odbioru Obiektu.</w:t>
            </w:r>
          </w:p>
        </w:tc>
        <w:tc>
          <w:tcPr>
            <w:tcW w:w="7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Domylnie"/>
              <w:spacing w:before="0" w:after="20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Kpl</w:t>
            </w:r>
          </w:p>
        </w:tc>
        <w:tc>
          <w:tcPr>
            <w:tcW w:w="7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Domylnie"/>
              <w:spacing w:before="0" w:after="20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327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Domylnie"/>
              <w:spacing w:before="0" w:after="20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236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Domylnie"/>
              <w:spacing w:before="0" w:after="200"/>
              <w:jc w:val="right"/>
              <w:rPr/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RAZEM</w:t>
            </w:r>
            <w:r>
              <w:rPr/>
              <w:t xml:space="preserve">  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NETTO</w:t>
            </w:r>
          </w:p>
        </w:tc>
        <w:tc>
          <w:tcPr>
            <w:tcW w:w="32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Domylnie"/>
              <w:widowControl/>
              <w:tabs>
                <w:tab w:val="left" w:pos="708" w:leader="none"/>
              </w:tabs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41" w:hRule="atLeast"/>
        </w:trPr>
        <w:tc>
          <w:tcPr>
            <w:tcW w:w="8236" w:type="dxa"/>
            <w:gridSpan w:val="5"/>
            <w:tcBorders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Domylnie"/>
              <w:spacing w:before="0" w:after="200"/>
              <w:jc w:val="right"/>
              <w:rPr>
                <w:b/>
                <w:b/>
                <w:bCs/>
              </w:rPr>
            </w:pPr>
            <w:r>
              <w:rPr>
                <w:b/>
                <w:bCs/>
              </w:rPr>
              <w:t>VAT</w:t>
            </w:r>
          </w:p>
        </w:tc>
        <w:tc>
          <w:tcPr>
            <w:tcW w:w="326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Domylnie"/>
              <w:widowControl/>
              <w:tabs>
                <w:tab w:val="left" w:pos="708" w:leader="none"/>
              </w:tabs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8236" w:type="dxa"/>
            <w:gridSpan w:val="5"/>
            <w:tcBorders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Domylnie"/>
              <w:spacing w:before="0" w:after="200"/>
              <w:jc w:val="right"/>
              <w:rPr>
                <w:b/>
                <w:b/>
                <w:bCs/>
              </w:rPr>
            </w:pPr>
            <w:r>
              <w:rPr>
                <w:b/>
                <w:bCs/>
              </w:rPr>
              <w:t>RAZEM BRUTTO</w:t>
            </w:r>
          </w:p>
        </w:tc>
        <w:tc>
          <w:tcPr>
            <w:tcW w:w="326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Domylnie"/>
              <w:widowControl/>
              <w:tabs>
                <w:tab w:val="left" w:pos="708" w:leader="none"/>
              </w:tabs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ascii="Verdana" w:hAnsi="Verdana"/>
          <w:b/>
          <w:bCs/>
          <w:sz w:val="16"/>
          <w:szCs w:val="16"/>
        </w:rPr>
        <w:t xml:space="preserve">           </w:t>
      </w:r>
    </w:p>
    <w:p>
      <w:pPr>
        <w:pStyle w:val="Normal"/>
        <w:spacing w:lineRule="auto" w:line="240" w:before="0" w:after="0"/>
        <w:rPr/>
      </w:pPr>
      <w:r>
        <w:rPr>
          <w:rFonts w:ascii="Verdana" w:hAnsi="Verdana"/>
          <w:b/>
          <w:bCs/>
          <w:sz w:val="16"/>
          <w:szCs w:val="16"/>
        </w:rPr>
        <w:t xml:space="preserve">                                                                                                  </w:t>
      </w:r>
      <w:r>
        <w:rPr>
          <w:rFonts w:ascii="Verdana" w:hAnsi="Verdana"/>
          <w:b/>
          <w:bCs/>
          <w:sz w:val="16"/>
          <w:szCs w:val="16"/>
        </w:rPr>
        <w:tab/>
        <w:tab/>
        <w:tab/>
        <w:tab/>
        <w:tab/>
        <w:tab/>
        <w:tab/>
        <w:tab/>
        <w:tab/>
        <w:tab/>
        <w:t>……………………………………………….</w:t>
      </w:r>
    </w:p>
    <w:p>
      <w:pPr>
        <w:pStyle w:val="Normal"/>
        <w:spacing w:lineRule="auto" w:line="240" w:before="0" w:after="0"/>
        <w:rPr/>
      </w:pPr>
      <w:r>
        <w:rPr>
          <w:rFonts w:ascii="Verdana" w:hAnsi="Verdana"/>
          <w:b/>
          <w:bCs/>
          <w:sz w:val="16"/>
          <w:szCs w:val="16"/>
        </w:rPr>
        <w:tab/>
        <w:t xml:space="preserve">       (PODPIS WYKONAWCY)</w:t>
      </w:r>
    </w:p>
    <w:sectPr>
      <w:type w:val="nextPage"/>
      <w:pgSz w:orient="landscape" w:w="16838" w:h="11906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Verdan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eastAsia="Calibri" w:cs=""/>
    </w:rPr>
  </w:style>
  <w:style w:type="character" w:styleId="ListLabel2">
    <w:name w:val="ListLabel 2"/>
    <w:qFormat/>
    <w:rPr>
      <w:rFonts w:cs="Courier New"/>
    </w:rPr>
  </w:style>
  <w:style w:type="character" w:styleId="Domylnaczcionkaakapitu">
    <w:name w:val="Domyślna czcionka akapitu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6c2c2c"/>
    <w:pPr>
      <w:spacing w:before="0" w:after="160"/>
      <w:ind w:left="720" w:hanging="0"/>
      <w:contextualSpacing/>
    </w:pPr>
    <w:rPr/>
  </w:style>
  <w:style w:type="paragraph" w:styleId="Domylnie">
    <w:name w:val="Domyślnie"/>
    <w:qFormat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ascii="Calibri" w:hAnsi="Calibri" w:eastAsia="Lucida Sans Unicode" w:cs="Calibri" w:asciiTheme="minorHAnsi" w:hAnsiTheme="minorHAnsi"/>
      <w:color w:val="00000A"/>
      <w:kern w:val="0"/>
      <w:sz w:val="22"/>
      <w:szCs w:val="22"/>
      <w:lang w:val="pl-PL" w:eastAsia="en-US" w:bidi="ar-SA"/>
    </w:rPr>
  </w:style>
  <w:style w:type="paragraph" w:styleId="Bezodstpw">
    <w:name w:val="Bez odstępów"/>
    <w:qFormat/>
    <w:pPr>
      <w:widowControl/>
      <w:tabs>
        <w:tab w:val="left" w:pos="708" w:leader="none"/>
      </w:tabs>
      <w:suppressAutoHyphens w:val="true"/>
      <w:bidi w:val="0"/>
      <w:spacing w:lineRule="atLeast" w:line="100"/>
      <w:jc w:val="left"/>
    </w:pPr>
    <w:rPr>
      <w:rFonts w:ascii="Calibri" w:hAnsi="Calibri" w:eastAsia="Lucida Sans Unicode" w:cs="Calibri" w:asciiTheme="minorHAnsi" w:hAnsiTheme="minorHAnsi"/>
      <w:color w:val="00000A"/>
      <w:kern w:val="0"/>
      <w:sz w:val="22"/>
      <w:szCs w:val="22"/>
      <w:lang w:val="pl-PL" w:eastAsia="en-US" w:bidi="ar-SA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41462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968</TotalTime>
  <Application>LibreOffice/6.2.1.2$Windows_x86 LibreOffice_project/7bcb35dc3024a62dea0caee87020152d1ee96e71</Application>
  <Pages>1</Pages>
  <Words>208</Words>
  <Characters>1343</Characters>
  <CharactersWithSpaces>1660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2017-03-14T17:00:00Z</dcterms:created>
  <dc:creator>kilagor</dc:creator>
  <dc:description/>
  <dc:language>pl-PL</dc:language>
  <cp:lastModifiedBy/>
  <cp:lastPrinted>2020-01-31T14:34:58Z</cp:lastPrinted>
  <dcterms:modified xsi:type="dcterms:W3CDTF">2020-01-31T14:35:37Z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